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1553"/>
        <w:gridCol w:w="4029"/>
        <w:gridCol w:w="4005"/>
        <w:gridCol w:w="1663"/>
      </w:tblGrid>
      <w:tr w:rsidR="0086480F" w:rsidTr="00214187">
        <w:trPr>
          <w:cantSplit/>
          <w:trHeight w:val="377"/>
        </w:trPr>
        <w:tc>
          <w:tcPr>
            <w:tcW w:w="11250" w:type="dxa"/>
            <w:gridSpan w:val="4"/>
            <w:tcBorders>
              <w:top w:val="nil"/>
              <w:left w:val="nil"/>
              <w:bottom w:val="nil"/>
              <w:right w:val="nil"/>
            </w:tcBorders>
            <w:vAlign w:val="center"/>
          </w:tcPr>
          <w:p w:rsidR="0086480F" w:rsidRDefault="0086480F" w:rsidP="008E30D7">
            <w:pPr>
              <w:ind w:left="180"/>
              <w:jc w:val="center"/>
              <w:rPr>
                <w:sz w:val="36"/>
              </w:rPr>
            </w:pPr>
            <w:r>
              <w:rPr>
                <w:b/>
                <w:bCs/>
                <w:smallCaps/>
                <w:sz w:val="40"/>
                <w:szCs w:val="44"/>
              </w:rPr>
              <w:t>G</w:t>
            </w:r>
            <w:r>
              <w:rPr>
                <w:b/>
                <w:bCs/>
                <w:smallCaps/>
                <w:sz w:val="36"/>
                <w:szCs w:val="44"/>
              </w:rPr>
              <w:t xml:space="preserve">RAND </w:t>
            </w:r>
            <w:r>
              <w:rPr>
                <w:b/>
                <w:bCs/>
                <w:smallCaps/>
                <w:sz w:val="40"/>
                <w:szCs w:val="44"/>
              </w:rPr>
              <w:t>F</w:t>
            </w:r>
            <w:r>
              <w:rPr>
                <w:b/>
                <w:bCs/>
                <w:smallCaps/>
                <w:sz w:val="36"/>
                <w:szCs w:val="44"/>
              </w:rPr>
              <w:t xml:space="preserve">ORKS </w:t>
            </w:r>
            <w:r>
              <w:rPr>
                <w:b/>
                <w:bCs/>
                <w:smallCaps/>
                <w:sz w:val="40"/>
                <w:szCs w:val="44"/>
              </w:rPr>
              <w:t>C</w:t>
            </w:r>
            <w:r>
              <w:rPr>
                <w:b/>
                <w:bCs/>
                <w:smallCaps/>
                <w:sz w:val="36"/>
                <w:szCs w:val="44"/>
              </w:rPr>
              <w:t xml:space="preserve">OUNTY </w:t>
            </w:r>
            <w:r w:rsidR="000D6AC3">
              <w:rPr>
                <w:b/>
                <w:bCs/>
                <w:smallCaps/>
                <w:sz w:val="36"/>
                <w:szCs w:val="44"/>
              </w:rPr>
              <w:t>DEPUTIES ASSOCIATION</w:t>
            </w:r>
          </w:p>
        </w:tc>
      </w:tr>
      <w:tr w:rsidR="0086480F" w:rsidTr="00214187">
        <w:trPr>
          <w:cantSplit/>
          <w:trHeight w:val="236"/>
        </w:trPr>
        <w:tc>
          <w:tcPr>
            <w:tcW w:w="1553" w:type="dxa"/>
            <w:vMerge w:val="restart"/>
            <w:tcBorders>
              <w:top w:val="nil"/>
              <w:left w:val="nil"/>
              <w:right w:val="nil"/>
            </w:tcBorders>
            <w:vAlign w:val="center"/>
          </w:tcPr>
          <w:p w:rsidR="0086480F" w:rsidRDefault="00527BD8">
            <w:pPr>
              <w:jc w:val="center"/>
            </w:pPr>
            <w:r w:rsidRPr="00C17DD8">
              <w:rPr>
                <w:noProof/>
              </w:rPr>
              <w:drawing>
                <wp:inline distT="0" distB="0" distL="0" distR="0">
                  <wp:extent cx="942975" cy="904875"/>
                  <wp:effectExtent l="0" t="0" r="0" b="0"/>
                  <wp:docPr id="1" name="Picture 1" descr="Badge-200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200t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04875"/>
                          </a:xfrm>
                          <a:prstGeom prst="rect">
                            <a:avLst/>
                          </a:prstGeom>
                          <a:noFill/>
                          <a:ln>
                            <a:noFill/>
                          </a:ln>
                        </pic:spPr>
                      </pic:pic>
                    </a:graphicData>
                  </a:graphic>
                </wp:inline>
              </w:drawing>
            </w:r>
          </w:p>
        </w:tc>
        <w:tc>
          <w:tcPr>
            <w:tcW w:w="8163" w:type="dxa"/>
            <w:gridSpan w:val="2"/>
            <w:tcBorders>
              <w:top w:val="nil"/>
              <w:left w:val="nil"/>
              <w:bottom w:val="nil"/>
              <w:right w:val="nil"/>
            </w:tcBorders>
            <w:vAlign w:val="center"/>
          </w:tcPr>
          <w:p w:rsidR="0086480F" w:rsidRDefault="0086480F" w:rsidP="000D6AC3">
            <w:pPr>
              <w:pStyle w:val="Heading1"/>
              <w:jc w:val="left"/>
              <w:rPr>
                <w:b w:val="0"/>
                <w:bCs w:val="0"/>
                <w:sz w:val="20"/>
              </w:rPr>
            </w:pPr>
          </w:p>
        </w:tc>
        <w:tc>
          <w:tcPr>
            <w:tcW w:w="1533" w:type="dxa"/>
            <w:vMerge w:val="restart"/>
            <w:tcBorders>
              <w:top w:val="nil"/>
              <w:left w:val="nil"/>
              <w:right w:val="nil"/>
            </w:tcBorders>
            <w:vAlign w:val="center"/>
          </w:tcPr>
          <w:p w:rsidR="0086480F" w:rsidRDefault="00527BD8">
            <w:pPr>
              <w:pStyle w:val="Heading1"/>
              <w:rPr>
                <w:b w:val="0"/>
                <w:bCs w:val="0"/>
                <w:sz w:val="20"/>
              </w:rPr>
            </w:pPr>
            <w:r w:rsidRPr="00C17DD8">
              <w:rPr>
                <w:b w:val="0"/>
                <w:bCs w:val="0"/>
                <w:noProof/>
                <w:sz w:val="20"/>
              </w:rPr>
              <w:drawing>
                <wp:inline distT="0" distB="0" distL="0" distR="0">
                  <wp:extent cx="1019175" cy="962025"/>
                  <wp:effectExtent l="0" t="0" r="0" b="0"/>
                  <wp:docPr id="2" name="Picture 2" descr="GF 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 County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a:ln>
                            <a:noFill/>
                          </a:ln>
                        </pic:spPr>
                      </pic:pic>
                    </a:graphicData>
                  </a:graphic>
                </wp:inline>
              </w:drawing>
            </w:r>
          </w:p>
        </w:tc>
      </w:tr>
      <w:tr w:rsidR="0086480F" w:rsidTr="00214187">
        <w:trPr>
          <w:cantSplit/>
          <w:trHeight w:val="151"/>
        </w:trPr>
        <w:tc>
          <w:tcPr>
            <w:tcW w:w="1553" w:type="dxa"/>
            <w:vMerge/>
            <w:tcBorders>
              <w:left w:val="nil"/>
              <w:right w:val="nil"/>
            </w:tcBorders>
          </w:tcPr>
          <w:p w:rsidR="0086480F" w:rsidRDefault="0086480F"/>
        </w:tc>
        <w:tc>
          <w:tcPr>
            <w:tcW w:w="8163" w:type="dxa"/>
            <w:gridSpan w:val="2"/>
            <w:tcBorders>
              <w:top w:val="nil"/>
              <w:left w:val="nil"/>
              <w:bottom w:val="nil"/>
              <w:right w:val="nil"/>
            </w:tcBorders>
            <w:vAlign w:val="center"/>
          </w:tcPr>
          <w:p w:rsidR="000D6AC3" w:rsidRPr="000D6AC3" w:rsidRDefault="000D6AC3" w:rsidP="000D6AC3">
            <w:pPr>
              <w:pStyle w:val="Heading1"/>
              <w:jc w:val="left"/>
              <w:rPr>
                <w:b w:val="0"/>
                <w:bCs w:val="0"/>
                <w:sz w:val="20"/>
              </w:rPr>
            </w:pPr>
          </w:p>
        </w:tc>
        <w:tc>
          <w:tcPr>
            <w:tcW w:w="1533" w:type="dxa"/>
            <w:vMerge/>
            <w:tcBorders>
              <w:left w:val="nil"/>
              <w:right w:val="nil"/>
            </w:tcBorders>
            <w:vAlign w:val="center"/>
          </w:tcPr>
          <w:p w:rsidR="0086480F" w:rsidRDefault="0086480F">
            <w:pPr>
              <w:pStyle w:val="Heading1"/>
              <w:rPr>
                <w:b w:val="0"/>
                <w:bCs w:val="0"/>
                <w:sz w:val="20"/>
              </w:rPr>
            </w:pPr>
          </w:p>
        </w:tc>
      </w:tr>
      <w:tr w:rsidR="0086480F" w:rsidTr="00214187">
        <w:trPr>
          <w:cantSplit/>
          <w:trHeight w:val="151"/>
        </w:trPr>
        <w:tc>
          <w:tcPr>
            <w:tcW w:w="1553" w:type="dxa"/>
            <w:vMerge/>
            <w:tcBorders>
              <w:left w:val="nil"/>
              <w:right w:val="nil"/>
            </w:tcBorders>
          </w:tcPr>
          <w:p w:rsidR="0086480F" w:rsidRDefault="0086480F"/>
        </w:tc>
        <w:tc>
          <w:tcPr>
            <w:tcW w:w="8163" w:type="dxa"/>
            <w:gridSpan w:val="2"/>
            <w:tcBorders>
              <w:top w:val="nil"/>
              <w:left w:val="nil"/>
              <w:bottom w:val="nil"/>
              <w:right w:val="nil"/>
            </w:tcBorders>
            <w:vAlign w:val="center"/>
          </w:tcPr>
          <w:p w:rsidR="00D04085" w:rsidRPr="00D04085" w:rsidRDefault="000D6AC3" w:rsidP="00D04085">
            <w:pPr>
              <w:pStyle w:val="Heading1"/>
              <w:rPr>
                <w:b w:val="0"/>
              </w:rPr>
            </w:pPr>
            <w:r>
              <w:rPr>
                <w:b w:val="0"/>
              </w:rPr>
              <w:t>“ITS FOR THE KIDS”</w:t>
            </w:r>
          </w:p>
        </w:tc>
        <w:tc>
          <w:tcPr>
            <w:tcW w:w="1533" w:type="dxa"/>
            <w:vMerge/>
            <w:tcBorders>
              <w:left w:val="nil"/>
              <w:right w:val="nil"/>
            </w:tcBorders>
            <w:vAlign w:val="center"/>
          </w:tcPr>
          <w:p w:rsidR="0086480F" w:rsidRDefault="0086480F">
            <w:pPr>
              <w:pStyle w:val="Heading1"/>
              <w:rPr>
                <w:b w:val="0"/>
                <w:bCs w:val="0"/>
                <w:sz w:val="20"/>
              </w:rPr>
            </w:pPr>
          </w:p>
        </w:tc>
      </w:tr>
      <w:tr w:rsidR="0086480F" w:rsidTr="00214187">
        <w:trPr>
          <w:cantSplit/>
          <w:trHeight w:val="151"/>
        </w:trPr>
        <w:tc>
          <w:tcPr>
            <w:tcW w:w="1553" w:type="dxa"/>
            <w:vMerge/>
            <w:tcBorders>
              <w:left w:val="nil"/>
              <w:right w:val="nil"/>
            </w:tcBorders>
          </w:tcPr>
          <w:p w:rsidR="0086480F" w:rsidRDefault="0086480F"/>
        </w:tc>
        <w:tc>
          <w:tcPr>
            <w:tcW w:w="4091" w:type="dxa"/>
            <w:tcBorders>
              <w:top w:val="nil"/>
              <w:left w:val="nil"/>
              <w:bottom w:val="nil"/>
              <w:right w:val="nil"/>
            </w:tcBorders>
            <w:vAlign w:val="center"/>
          </w:tcPr>
          <w:p w:rsidR="0086480F" w:rsidRPr="00D04085" w:rsidRDefault="0086480F" w:rsidP="00D04085">
            <w:pPr>
              <w:pStyle w:val="Heading1"/>
              <w:rPr>
                <w:b w:val="0"/>
                <w:sz w:val="20"/>
              </w:rPr>
            </w:pPr>
          </w:p>
        </w:tc>
        <w:tc>
          <w:tcPr>
            <w:tcW w:w="4073" w:type="dxa"/>
            <w:tcBorders>
              <w:top w:val="nil"/>
              <w:left w:val="nil"/>
              <w:bottom w:val="nil"/>
              <w:right w:val="nil"/>
            </w:tcBorders>
            <w:vAlign w:val="center"/>
          </w:tcPr>
          <w:p w:rsidR="0086480F" w:rsidRPr="00D04085" w:rsidRDefault="0086480F" w:rsidP="000D6AC3">
            <w:pPr>
              <w:pStyle w:val="Heading1"/>
              <w:jc w:val="left"/>
              <w:rPr>
                <w:b w:val="0"/>
                <w:sz w:val="20"/>
              </w:rPr>
            </w:pPr>
          </w:p>
        </w:tc>
        <w:tc>
          <w:tcPr>
            <w:tcW w:w="1533" w:type="dxa"/>
            <w:vMerge/>
            <w:tcBorders>
              <w:left w:val="nil"/>
              <w:right w:val="nil"/>
            </w:tcBorders>
            <w:vAlign w:val="center"/>
          </w:tcPr>
          <w:p w:rsidR="0086480F" w:rsidRDefault="0086480F">
            <w:pPr>
              <w:pStyle w:val="Heading3"/>
              <w:rPr>
                <w:b w:val="0"/>
                <w:bCs w:val="0"/>
                <w:sz w:val="20"/>
              </w:rPr>
            </w:pPr>
          </w:p>
        </w:tc>
      </w:tr>
      <w:tr w:rsidR="0086480F" w:rsidTr="000D6AC3">
        <w:trPr>
          <w:cantSplit/>
          <w:trHeight w:val="550"/>
        </w:trPr>
        <w:tc>
          <w:tcPr>
            <w:tcW w:w="1553" w:type="dxa"/>
            <w:vMerge/>
            <w:tcBorders>
              <w:left w:val="nil"/>
              <w:bottom w:val="nil"/>
              <w:right w:val="nil"/>
            </w:tcBorders>
          </w:tcPr>
          <w:p w:rsidR="0086480F" w:rsidRDefault="0086480F"/>
        </w:tc>
        <w:tc>
          <w:tcPr>
            <w:tcW w:w="8163" w:type="dxa"/>
            <w:gridSpan w:val="2"/>
            <w:tcBorders>
              <w:top w:val="nil"/>
              <w:left w:val="nil"/>
              <w:bottom w:val="single" w:sz="12" w:space="0" w:color="auto"/>
              <w:right w:val="nil"/>
            </w:tcBorders>
            <w:vAlign w:val="center"/>
          </w:tcPr>
          <w:p w:rsidR="000D6AC3" w:rsidRPr="00485FBC" w:rsidRDefault="000D6AC3" w:rsidP="000D6AC3">
            <w:pPr>
              <w:jc w:val="center"/>
            </w:pPr>
            <w:r w:rsidRPr="00485FBC">
              <w:t>Grand Forks County Deputies Association Dan Hill Memorial Scholarship</w:t>
            </w:r>
          </w:p>
          <w:p w:rsidR="0086480F" w:rsidRDefault="0086480F" w:rsidP="000D6AC3">
            <w:pPr>
              <w:pStyle w:val="Heading1"/>
              <w:jc w:val="left"/>
            </w:pPr>
          </w:p>
        </w:tc>
        <w:tc>
          <w:tcPr>
            <w:tcW w:w="1533" w:type="dxa"/>
            <w:vMerge/>
            <w:tcBorders>
              <w:left w:val="nil"/>
              <w:bottom w:val="nil"/>
              <w:right w:val="nil"/>
            </w:tcBorders>
            <w:vAlign w:val="center"/>
          </w:tcPr>
          <w:p w:rsidR="0086480F" w:rsidRDefault="0086480F">
            <w:pPr>
              <w:ind w:right="511"/>
              <w:jc w:val="center"/>
            </w:pPr>
          </w:p>
        </w:tc>
      </w:tr>
    </w:tbl>
    <w:p w:rsidR="000D6AC3" w:rsidRDefault="006436B9" w:rsidP="000D6AC3">
      <w:pPr>
        <w:ind w:right="-20"/>
        <w:rPr>
          <w:sz w:val="24"/>
          <w:szCs w:val="24"/>
        </w:rPr>
      </w:pPr>
      <w:r>
        <w:rPr>
          <w:sz w:val="24"/>
          <w:szCs w:val="24"/>
        </w:rPr>
        <w:tab/>
      </w:r>
      <w:r>
        <w:rPr>
          <w:sz w:val="24"/>
          <w:szCs w:val="24"/>
        </w:rPr>
        <w:tab/>
      </w:r>
    </w:p>
    <w:p w:rsidR="000D6AC3" w:rsidRPr="000D6AC3" w:rsidRDefault="000D6AC3" w:rsidP="000D6AC3">
      <w:pPr>
        <w:ind w:right="-20"/>
        <w:rPr>
          <w:sz w:val="22"/>
          <w:szCs w:val="22"/>
        </w:rPr>
      </w:pPr>
      <w:r w:rsidRPr="000D6AC3">
        <w:rPr>
          <w:sz w:val="22"/>
          <w:szCs w:val="22"/>
        </w:rPr>
        <w:t>Background:</w:t>
      </w:r>
    </w:p>
    <w:p w:rsidR="000D6AC3" w:rsidRPr="000D6AC3" w:rsidRDefault="000D6AC3" w:rsidP="000D6AC3">
      <w:pPr>
        <w:rPr>
          <w:sz w:val="22"/>
          <w:szCs w:val="22"/>
        </w:rPr>
      </w:pPr>
      <w:r w:rsidRPr="000D6AC3">
        <w:rPr>
          <w:sz w:val="22"/>
          <w:szCs w:val="22"/>
        </w:rPr>
        <w:tab/>
        <w:t xml:space="preserve">Sheriff Dan Hill was a 20 year Sheriff of Grand Forks County, serving from 1991 to 2010. Sheriff Hill was a very involved member of the community and above all enjoyed serving and giving back to his community. Sheriff Hill was born and raised in Grand Forks. He started his Law Enforcement Career in 1966 with the Grand Forks Police Department where he served with distinction until being elected Sheriff of Grand Forks County in 1991. </w:t>
      </w:r>
    </w:p>
    <w:p w:rsidR="000D6AC3" w:rsidRPr="000D6AC3" w:rsidRDefault="000D6AC3" w:rsidP="000D6AC3">
      <w:pPr>
        <w:rPr>
          <w:sz w:val="22"/>
          <w:szCs w:val="22"/>
        </w:rPr>
      </w:pPr>
      <w:r w:rsidRPr="000D6AC3">
        <w:rPr>
          <w:sz w:val="22"/>
          <w:szCs w:val="22"/>
        </w:rPr>
        <w:tab/>
        <w:t xml:space="preserve">Under Sheriff Hill’s administration the Grand Forks County Deputies Association was formed. The Grand Forks County Deputies Association is an organization made up of Grand Forks County Sheriff’s Deputies and employees who strive to better the community they serve while giving back to those who need it most. In honor of Sheriff Hill’s dedication to Grand Forks County and his drive to serve and give back to his community, the Grand Forks County Deputies Association is proud to dedicate a scholarship in his name for high school seniors with the same motivation to serve as Sheriff Hill. </w:t>
      </w:r>
    </w:p>
    <w:p w:rsidR="000D6AC3" w:rsidRPr="000D6AC3" w:rsidRDefault="000D6AC3" w:rsidP="000D6AC3">
      <w:pPr>
        <w:spacing w:line="360" w:lineRule="auto"/>
        <w:rPr>
          <w:sz w:val="22"/>
          <w:szCs w:val="22"/>
        </w:rPr>
      </w:pPr>
    </w:p>
    <w:p w:rsidR="000D6AC3" w:rsidRPr="000D6AC3" w:rsidRDefault="000D6AC3" w:rsidP="000D6AC3">
      <w:pPr>
        <w:rPr>
          <w:sz w:val="22"/>
          <w:szCs w:val="22"/>
        </w:rPr>
      </w:pPr>
      <w:r w:rsidRPr="000D6AC3">
        <w:rPr>
          <w:sz w:val="22"/>
          <w:szCs w:val="22"/>
        </w:rPr>
        <w:t xml:space="preserve">Start Date: </w:t>
      </w:r>
    </w:p>
    <w:p w:rsidR="000D6AC3" w:rsidRPr="000D6AC3" w:rsidRDefault="000D6AC3" w:rsidP="000D6AC3">
      <w:pPr>
        <w:rPr>
          <w:sz w:val="22"/>
          <w:szCs w:val="22"/>
        </w:rPr>
      </w:pPr>
      <w:r w:rsidRPr="000D6AC3">
        <w:rPr>
          <w:sz w:val="22"/>
          <w:szCs w:val="22"/>
        </w:rPr>
        <w:tab/>
        <w:t>A</w:t>
      </w:r>
      <w:r w:rsidR="002F0AC2">
        <w:rPr>
          <w:sz w:val="22"/>
          <w:szCs w:val="22"/>
        </w:rPr>
        <w:t xml:space="preserve">pplications will be accepted January </w:t>
      </w:r>
      <w:r w:rsidRPr="000D6AC3">
        <w:rPr>
          <w:sz w:val="22"/>
          <w:szCs w:val="22"/>
        </w:rPr>
        <w:t>1</w:t>
      </w:r>
      <w:r w:rsidRPr="000D6AC3">
        <w:rPr>
          <w:sz w:val="22"/>
          <w:szCs w:val="22"/>
          <w:vertAlign w:val="superscript"/>
        </w:rPr>
        <w:t>st</w:t>
      </w:r>
      <w:r w:rsidR="00F944B4">
        <w:rPr>
          <w:sz w:val="22"/>
          <w:szCs w:val="22"/>
        </w:rPr>
        <w:t>- May 31st</w:t>
      </w:r>
      <w:r w:rsidR="006A14B0">
        <w:rPr>
          <w:sz w:val="22"/>
          <w:szCs w:val="22"/>
        </w:rPr>
        <w:t xml:space="preserve"> of every year. </w:t>
      </w:r>
    </w:p>
    <w:p w:rsidR="000D6AC3" w:rsidRPr="000D6AC3" w:rsidRDefault="000D6AC3" w:rsidP="000D6AC3">
      <w:pPr>
        <w:rPr>
          <w:sz w:val="22"/>
          <w:szCs w:val="22"/>
        </w:rPr>
      </w:pPr>
    </w:p>
    <w:p w:rsidR="000D6AC3" w:rsidRPr="000D6AC3" w:rsidRDefault="000D6AC3" w:rsidP="000D6AC3">
      <w:pPr>
        <w:rPr>
          <w:sz w:val="22"/>
          <w:szCs w:val="22"/>
        </w:rPr>
      </w:pPr>
      <w:r w:rsidRPr="000D6AC3">
        <w:rPr>
          <w:sz w:val="22"/>
          <w:szCs w:val="22"/>
        </w:rPr>
        <w:t>End Date:</w:t>
      </w:r>
    </w:p>
    <w:p w:rsidR="000D6AC3" w:rsidRPr="000D6AC3" w:rsidRDefault="000D6AC3" w:rsidP="000D6AC3">
      <w:pPr>
        <w:rPr>
          <w:sz w:val="22"/>
          <w:szCs w:val="22"/>
        </w:rPr>
      </w:pPr>
      <w:r w:rsidRPr="000D6AC3">
        <w:rPr>
          <w:sz w:val="22"/>
          <w:szCs w:val="22"/>
        </w:rPr>
        <w:tab/>
        <w:t>The Grand Forks County Deputies Association will award the scholarship to an applicant by majority vote of members. The recipient will be selected no later</w:t>
      </w:r>
      <w:r w:rsidR="00F944B4">
        <w:rPr>
          <w:sz w:val="22"/>
          <w:szCs w:val="22"/>
        </w:rPr>
        <w:t xml:space="preserve"> than June</w:t>
      </w:r>
      <w:r w:rsidRPr="000D6AC3">
        <w:rPr>
          <w:sz w:val="22"/>
          <w:szCs w:val="22"/>
        </w:rPr>
        <w:t xml:space="preserve"> 1</w:t>
      </w:r>
      <w:r w:rsidRPr="000D6AC3">
        <w:rPr>
          <w:sz w:val="22"/>
          <w:szCs w:val="22"/>
          <w:vertAlign w:val="superscript"/>
        </w:rPr>
        <w:t>st</w:t>
      </w:r>
      <w:r w:rsidRPr="000D6AC3">
        <w:rPr>
          <w:sz w:val="22"/>
          <w:szCs w:val="22"/>
        </w:rPr>
        <w:t xml:space="preserve"> of each year. </w:t>
      </w:r>
    </w:p>
    <w:p w:rsidR="000D6AC3" w:rsidRPr="000D6AC3" w:rsidRDefault="000D6AC3" w:rsidP="000D6AC3">
      <w:pPr>
        <w:rPr>
          <w:sz w:val="22"/>
          <w:szCs w:val="22"/>
        </w:rPr>
      </w:pPr>
    </w:p>
    <w:p w:rsidR="000D6AC3" w:rsidRPr="000D6AC3" w:rsidRDefault="000D6AC3" w:rsidP="000D6AC3">
      <w:pPr>
        <w:rPr>
          <w:sz w:val="22"/>
          <w:szCs w:val="22"/>
        </w:rPr>
      </w:pPr>
      <w:r w:rsidRPr="000D6AC3">
        <w:rPr>
          <w:sz w:val="22"/>
          <w:szCs w:val="22"/>
        </w:rPr>
        <w:t xml:space="preserve">Scholarship amount: </w:t>
      </w:r>
    </w:p>
    <w:p w:rsidR="000D6AC3" w:rsidRPr="000D6AC3" w:rsidRDefault="000D6AC3" w:rsidP="000D6AC3">
      <w:pPr>
        <w:rPr>
          <w:sz w:val="22"/>
          <w:szCs w:val="22"/>
        </w:rPr>
      </w:pPr>
      <w:r w:rsidRPr="000D6AC3">
        <w:rPr>
          <w:sz w:val="22"/>
          <w:szCs w:val="22"/>
        </w:rPr>
        <w:tab/>
        <w:t>The recipient of the scholarship will be awarded a $1500 in the form of a check to be used for higher education in pursuit of a first responder career.</w:t>
      </w:r>
    </w:p>
    <w:p w:rsidR="000D6AC3" w:rsidRPr="000D6AC3" w:rsidRDefault="000D6AC3" w:rsidP="000D6AC3">
      <w:pPr>
        <w:spacing w:line="360" w:lineRule="auto"/>
        <w:rPr>
          <w:sz w:val="22"/>
          <w:szCs w:val="22"/>
        </w:rPr>
      </w:pPr>
    </w:p>
    <w:p w:rsidR="000D6AC3" w:rsidRPr="000D6AC3" w:rsidRDefault="000D6AC3" w:rsidP="000D6AC3">
      <w:pPr>
        <w:rPr>
          <w:sz w:val="22"/>
          <w:szCs w:val="22"/>
        </w:rPr>
      </w:pPr>
      <w:r w:rsidRPr="000D6AC3">
        <w:rPr>
          <w:sz w:val="22"/>
          <w:szCs w:val="22"/>
        </w:rPr>
        <w:t>Scholarship Qualifications:</w:t>
      </w:r>
    </w:p>
    <w:p w:rsidR="000D6AC3" w:rsidRPr="000D6AC3" w:rsidRDefault="000D6AC3" w:rsidP="000D6AC3">
      <w:pPr>
        <w:pStyle w:val="ListParagraph"/>
        <w:numPr>
          <w:ilvl w:val="0"/>
          <w:numId w:val="1"/>
        </w:numPr>
        <w:rPr>
          <w:rFonts w:ascii="Times New Roman" w:hAnsi="Times New Roman" w:cs="Times New Roman"/>
        </w:rPr>
      </w:pPr>
      <w:r w:rsidRPr="000D6AC3">
        <w:rPr>
          <w:rFonts w:ascii="Times New Roman" w:hAnsi="Times New Roman" w:cs="Times New Roman"/>
        </w:rPr>
        <w:t xml:space="preserve">Any high school senior in the County of Grand Forks (including Grand Forks City) is eligible for the scholarship </w:t>
      </w:r>
      <w:bookmarkStart w:id="0" w:name="_GoBack"/>
      <w:bookmarkEnd w:id="0"/>
    </w:p>
    <w:p w:rsidR="000D6AC3" w:rsidRPr="000D6AC3" w:rsidRDefault="000D6AC3" w:rsidP="000D6AC3">
      <w:pPr>
        <w:pStyle w:val="ListParagraph"/>
        <w:numPr>
          <w:ilvl w:val="0"/>
          <w:numId w:val="1"/>
        </w:numPr>
        <w:rPr>
          <w:rFonts w:ascii="Times New Roman" w:hAnsi="Times New Roman" w:cs="Times New Roman"/>
        </w:rPr>
      </w:pPr>
      <w:r w:rsidRPr="000D6AC3">
        <w:rPr>
          <w:rFonts w:ascii="Times New Roman" w:hAnsi="Times New Roman" w:cs="Times New Roman"/>
        </w:rPr>
        <w:t xml:space="preserve">The scholarship is available to students pursuing a career as a first responder (Law Enforcement, Firefighting, </w:t>
      </w:r>
      <w:proofErr w:type="gramStart"/>
      <w:r w:rsidRPr="000D6AC3">
        <w:rPr>
          <w:rFonts w:ascii="Times New Roman" w:hAnsi="Times New Roman" w:cs="Times New Roman"/>
        </w:rPr>
        <w:t>EMS</w:t>
      </w:r>
      <w:proofErr w:type="gramEnd"/>
      <w:r w:rsidRPr="000D6AC3">
        <w:rPr>
          <w:rFonts w:ascii="Times New Roman" w:hAnsi="Times New Roman" w:cs="Times New Roman"/>
        </w:rPr>
        <w:t>).</w:t>
      </w:r>
    </w:p>
    <w:p w:rsidR="000D6AC3" w:rsidRPr="000D6AC3" w:rsidRDefault="000D6AC3" w:rsidP="000D6AC3">
      <w:pPr>
        <w:pStyle w:val="ListParagraph"/>
        <w:numPr>
          <w:ilvl w:val="0"/>
          <w:numId w:val="1"/>
        </w:numPr>
        <w:rPr>
          <w:rFonts w:ascii="Times New Roman" w:hAnsi="Times New Roman" w:cs="Times New Roman"/>
        </w:rPr>
      </w:pPr>
      <w:r w:rsidRPr="000D6AC3">
        <w:rPr>
          <w:rFonts w:ascii="Times New Roman" w:hAnsi="Times New Roman" w:cs="Times New Roman"/>
        </w:rPr>
        <w:t>Applicants pursuing a career in Grand Forks/Grand Forks County will be given higher preference.</w:t>
      </w:r>
    </w:p>
    <w:p w:rsidR="000D6AC3" w:rsidRPr="000D6AC3" w:rsidRDefault="000D6AC3" w:rsidP="000D6AC3">
      <w:pPr>
        <w:pStyle w:val="ListParagraph"/>
        <w:numPr>
          <w:ilvl w:val="0"/>
          <w:numId w:val="1"/>
        </w:numPr>
        <w:rPr>
          <w:rFonts w:ascii="Times New Roman" w:hAnsi="Times New Roman" w:cs="Times New Roman"/>
        </w:rPr>
      </w:pPr>
      <w:r w:rsidRPr="000D6AC3">
        <w:rPr>
          <w:rFonts w:ascii="Times New Roman" w:hAnsi="Times New Roman" w:cs="Times New Roman"/>
        </w:rPr>
        <w:t>Applicants must submit a 200–500-word essay.</w:t>
      </w:r>
    </w:p>
    <w:p w:rsidR="000D6AC3" w:rsidRPr="000D6AC3" w:rsidRDefault="000D6AC3" w:rsidP="000D6AC3">
      <w:pPr>
        <w:pStyle w:val="ListParagraph"/>
        <w:numPr>
          <w:ilvl w:val="0"/>
          <w:numId w:val="1"/>
        </w:numPr>
        <w:rPr>
          <w:rFonts w:ascii="Times New Roman" w:hAnsi="Times New Roman" w:cs="Times New Roman"/>
        </w:rPr>
      </w:pPr>
      <w:r w:rsidRPr="000D6AC3">
        <w:rPr>
          <w:rFonts w:ascii="Times New Roman" w:hAnsi="Times New Roman" w:cs="Times New Roman"/>
        </w:rPr>
        <w:t xml:space="preserve">Essays should include the following: </w:t>
      </w:r>
    </w:p>
    <w:p w:rsidR="000D6AC3" w:rsidRPr="000D6AC3" w:rsidRDefault="000D6AC3" w:rsidP="000D6AC3">
      <w:pPr>
        <w:pStyle w:val="ListParagraph"/>
        <w:numPr>
          <w:ilvl w:val="1"/>
          <w:numId w:val="1"/>
        </w:numPr>
        <w:rPr>
          <w:rFonts w:ascii="Times New Roman" w:hAnsi="Times New Roman" w:cs="Times New Roman"/>
        </w:rPr>
      </w:pPr>
      <w:r w:rsidRPr="000D6AC3">
        <w:rPr>
          <w:rFonts w:ascii="Times New Roman" w:hAnsi="Times New Roman" w:cs="Times New Roman"/>
        </w:rPr>
        <w:t>Applicant’s name and current school</w:t>
      </w:r>
    </w:p>
    <w:p w:rsidR="000D6AC3" w:rsidRPr="000D6AC3" w:rsidRDefault="000D6AC3" w:rsidP="000D6AC3">
      <w:pPr>
        <w:pStyle w:val="ListParagraph"/>
        <w:numPr>
          <w:ilvl w:val="1"/>
          <w:numId w:val="1"/>
        </w:numPr>
        <w:rPr>
          <w:rFonts w:ascii="Times New Roman" w:hAnsi="Times New Roman" w:cs="Times New Roman"/>
        </w:rPr>
      </w:pPr>
      <w:r w:rsidRPr="000D6AC3">
        <w:rPr>
          <w:rFonts w:ascii="Times New Roman" w:hAnsi="Times New Roman" w:cs="Times New Roman"/>
        </w:rPr>
        <w:t>Profession they desire to pursue</w:t>
      </w:r>
    </w:p>
    <w:p w:rsidR="000D6AC3" w:rsidRPr="000D6AC3" w:rsidRDefault="000D6AC3" w:rsidP="000D6AC3">
      <w:pPr>
        <w:pStyle w:val="ListParagraph"/>
        <w:numPr>
          <w:ilvl w:val="1"/>
          <w:numId w:val="1"/>
        </w:numPr>
        <w:rPr>
          <w:rFonts w:ascii="Times New Roman" w:hAnsi="Times New Roman" w:cs="Times New Roman"/>
        </w:rPr>
      </w:pPr>
      <w:r w:rsidRPr="000D6AC3">
        <w:rPr>
          <w:rFonts w:ascii="Times New Roman" w:hAnsi="Times New Roman" w:cs="Times New Roman"/>
        </w:rPr>
        <w:t xml:space="preserve">Why they strive to help others </w:t>
      </w:r>
    </w:p>
    <w:p w:rsidR="000D6AC3" w:rsidRPr="000D6AC3" w:rsidRDefault="000D6AC3" w:rsidP="000D6AC3">
      <w:pPr>
        <w:pStyle w:val="ListParagraph"/>
        <w:numPr>
          <w:ilvl w:val="1"/>
          <w:numId w:val="1"/>
        </w:numPr>
        <w:rPr>
          <w:rFonts w:ascii="Times New Roman" w:hAnsi="Times New Roman" w:cs="Times New Roman"/>
        </w:rPr>
      </w:pPr>
      <w:r w:rsidRPr="000D6AC3">
        <w:rPr>
          <w:rFonts w:ascii="Times New Roman" w:hAnsi="Times New Roman" w:cs="Times New Roman"/>
        </w:rPr>
        <w:t>What community involvement they are currently active in</w:t>
      </w:r>
    </w:p>
    <w:p w:rsidR="000D6AC3" w:rsidRPr="000D6AC3" w:rsidRDefault="000D6AC3" w:rsidP="000D6AC3">
      <w:pPr>
        <w:pStyle w:val="ListParagraph"/>
        <w:numPr>
          <w:ilvl w:val="1"/>
          <w:numId w:val="1"/>
        </w:numPr>
        <w:rPr>
          <w:rFonts w:ascii="Times New Roman" w:hAnsi="Times New Roman" w:cs="Times New Roman"/>
        </w:rPr>
      </w:pPr>
      <w:r w:rsidRPr="000D6AC3">
        <w:rPr>
          <w:rFonts w:ascii="Times New Roman" w:hAnsi="Times New Roman" w:cs="Times New Roman"/>
        </w:rPr>
        <w:t>Any other information pertinent to the selection board</w:t>
      </w:r>
    </w:p>
    <w:p w:rsidR="000D6AC3" w:rsidRPr="000D6AC3" w:rsidRDefault="000D6AC3" w:rsidP="000D6AC3">
      <w:pPr>
        <w:rPr>
          <w:sz w:val="22"/>
          <w:szCs w:val="22"/>
        </w:rPr>
      </w:pPr>
    </w:p>
    <w:p w:rsidR="00214187" w:rsidRPr="000D6AC3" w:rsidRDefault="000D6AC3" w:rsidP="000D6AC3">
      <w:pPr>
        <w:rPr>
          <w:sz w:val="22"/>
          <w:szCs w:val="22"/>
        </w:rPr>
      </w:pPr>
      <w:r w:rsidRPr="000D6AC3">
        <w:rPr>
          <w:sz w:val="22"/>
          <w:szCs w:val="22"/>
        </w:rPr>
        <w:t>Please email essays to blake.buchmeier@gfcounty.org</w:t>
      </w:r>
    </w:p>
    <w:sectPr w:rsidR="00214187" w:rsidRPr="000D6AC3" w:rsidSect="00D40DB7">
      <w:footerReference w:type="even" r:id="rId9"/>
      <w:footerReference w:type="default" r:id="rId10"/>
      <w:pgSz w:w="12240" w:h="15840"/>
      <w:pgMar w:top="547"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F62" w:rsidRDefault="00CC4F62">
      <w:r>
        <w:separator/>
      </w:r>
    </w:p>
  </w:endnote>
  <w:endnote w:type="continuationSeparator" w:id="0">
    <w:p w:rsidR="00CC4F62" w:rsidRDefault="00CC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0F" w:rsidRDefault="008648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480F" w:rsidRDefault="008648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0F" w:rsidRDefault="0086480F" w:rsidP="00610D05">
    <w:pPr>
      <w:pStyle w:val="Footer"/>
      <w:framePr w:wrap="around" w:vAnchor="text" w:hAnchor="page" w:x="9661" w:y="8"/>
      <w:rPr>
        <w:rStyle w:val="PageNumber"/>
      </w:rPr>
    </w:pPr>
  </w:p>
  <w:p w:rsidR="0086480F" w:rsidRDefault="0086480F" w:rsidP="00610D0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F62" w:rsidRDefault="00CC4F62">
      <w:r>
        <w:separator/>
      </w:r>
    </w:p>
  </w:footnote>
  <w:footnote w:type="continuationSeparator" w:id="0">
    <w:p w:rsidR="00CC4F62" w:rsidRDefault="00CC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44BE"/>
    <w:multiLevelType w:val="hybridMultilevel"/>
    <w:tmpl w:val="F2600990"/>
    <w:lvl w:ilvl="0" w:tplc="C32641C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6A"/>
    <w:rsid w:val="00013878"/>
    <w:rsid w:val="00017A99"/>
    <w:rsid w:val="000A14B2"/>
    <w:rsid w:val="000D6AC3"/>
    <w:rsid w:val="000F16E2"/>
    <w:rsid w:val="002132B7"/>
    <w:rsid w:val="00214187"/>
    <w:rsid w:val="002159D7"/>
    <w:rsid w:val="002732A7"/>
    <w:rsid w:val="002F0AC2"/>
    <w:rsid w:val="00336660"/>
    <w:rsid w:val="003A0CCA"/>
    <w:rsid w:val="004F1A98"/>
    <w:rsid w:val="005073D7"/>
    <w:rsid w:val="00527BD8"/>
    <w:rsid w:val="00540A1F"/>
    <w:rsid w:val="00610D05"/>
    <w:rsid w:val="006436B9"/>
    <w:rsid w:val="00643CF2"/>
    <w:rsid w:val="00645B6D"/>
    <w:rsid w:val="00653A93"/>
    <w:rsid w:val="006850E9"/>
    <w:rsid w:val="006A14B0"/>
    <w:rsid w:val="006B6716"/>
    <w:rsid w:val="00753580"/>
    <w:rsid w:val="0084772A"/>
    <w:rsid w:val="0086480F"/>
    <w:rsid w:val="008E30D7"/>
    <w:rsid w:val="00945A9F"/>
    <w:rsid w:val="00957AFD"/>
    <w:rsid w:val="009D3C5D"/>
    <w:rsid w:val="00AE3D5F"/>
    <w:rsid w:val="00B40BF8"/>
    <w:rsid w:val="00B63E7B"/>
    <w:rsid w:val="00BC5207"/>
    <w:rsid w:val="00BD656F"/>
    <w:rsid w:val="00BE5D92"/>
    <w:rsid w:val="00BF2E0A"/>
    <w:rsid w:val="00C17DD8"/>
    <w:rsid w:val="00C20D1F"/>
    <w:rsid w:val="00C7009B"/>
    <w:rsid w:val="00CC0C9B"/>
    <w:rsid w:val="00CC4F62"/>
    <w:rsid w:val="00D04085"/>
    <w:rsid w:val="00D40DB7"/>
    <w:rsid w:val="00DC426A"/>
    <w:rsid w:val="00E21908"/>
    <w:rsid w:val="00F11017"/>
    <w:rsid w:val="00F9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D2ABB"/>
  <w15:chartTrackingRefBased/>
  <w15:docId w15:val="{8A6D4C57-4471-472E-B733-E83990FB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qFormat/>
    <w:pPr>
      <w:keepNext/>
      <w:jc w:val="center"/>
      <w:outlineLvl w:val="0"/>
    </w:pPr>
    <w:rPr>
      <w:b/>
      <w:bCs/>
      <w:smallCaps/>
    </w:rPr>
  </w:style>
  <w:style w:type="paragraph" w:styleId="Heading2">
    <w:name w:val="heading 2"/>
    <w:basedOn w:val="Normal"/>
    <w:next w:val="Normal"/>
    <w:qFormat/>
    <w:pPr>
      <w:keepNext/>
      <w:jc w:val="center"/>
      <w:outlineLvl w:val="1"/>
    </w:pPr>
    <w:rPr>
      <w:smallCap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0D6AC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GRAND FORKS COUNTY SHERIFF=S DEPARTMENT</vt:lpstr>
    </vt:vector>
  </TitlesOfParts>
  <Company>Grand Forks County</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FORKS COUNTY SHERIFF=S DEPARTMENT</dc:title>
  <dc:subject/>
  <dc:creator>Michelle Olson</dc:creator>
  <cp:keywords/>
  <cp:lastModifiedBy>Deputy</cp:lastModifiedBy>
  <cp:revision>2</cp:revision>
  <cp:lastPrinted>2016-02-16T22:40:00Z</cp:lastPrinted>
  <dcterms:created xsi:type="dcterms:W3CDTF">2024-04-12T12:43:00Z</dcterms:created>
  <dcterms:modified xsi:type="dcterms:W3CDTF">2024-04-12T12:43:00Z</dcterms:modified>
</cp:coreProperties>
</file>